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word/commentsIdsDocument.xml" ContentType="application/vnd.openxmlformats-officedocument.wordprocessingml.commentsIds+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Document.xml" ContentType="application/vnd.openxmlformats-officedocument.wordprocessingml.comments+xml"/>
  <Override PartName="/word/commentsExtended.xml" ContentType="application/vnd.openxmlformats-officedocument.wordprocessingml.commentsExtended+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xml" ContentType="application/vnd.openxmlformats-officedocument.wordprocessingml.comments+xml"/>
  <Override PartName="/word/commentsExtendedDocument.xml" ContentType="application/vnd.openxmlformats-officedocument.wordprocessingml.commentsExtended+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commentRangeStart w:id="0"/>
      <w:r/>
      <w:commentRangeStart w:id="1"/>
      <w:r/>
      <w:commentRangeStart w:id="2"/>
      <w:r>
        <w:rPr>
          <w:b/>
          <w:sz w:val="72"/>
          <w:szCs w:val="72"/>
          <w:rtl w:val="0"/>
        </w:rPr>
        <w:t xml:space="preserve"> FICHE ACTION VNE </w:t>
      </w:r>
      <w:commentRangeStart w:id="3"/>
      <w:r>
        <w:rPr>
          <w:b/>
          <w:sz w:val="72"/>
          <w:szCs w:val="72"/>
          <w:rtl w:val="0"/>
        </w:rPr>
        <w:t xml:space="preserve">N°15</w:t>
      </w:r>
      <w:commentRangeEnd w:id="0"/>
      <w:r>
        <w:commentReference w:id="0"/>
      </w:r>
      <w:r/>
      <w:commentRangeEnd w:id="1"/>
      <w:r>
        <w:commentReference w:id="1"/>
      </w:r>
      <w:r/>
      <w:commentRangeEnd w:id="2"/>
      <w:r>
        <w:commentReference w:id="2"/>
      </w:r>
      <w:r/>
      <w:commentRangeEnd w:id="3"/>
      <w:r>
        <w:commentReference w:id="3"/>
      </w:r>
      <w:r>
        <w:rPr>
          <w:b/>
          <w:sz w:val="10"/>
          <w:szCs w:val="10"/>
        </w:rPr>
      </w:r>
      <w:r>
        <w:rPr>
          <w:b/>
          <w:sz w:val="10"/>
          <w:szCs w:val="10"/>
        </w:rPr>
      </w:r>
    </w:p>
    <w:tbl>
      <w:tblPr>
        <w:tblStyle w:val="909"/>
        <w:tblW w:w="11235" w:type="dxa"/>
        <w:tblInd w:w="-1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15"/>
        <w:gridCol w:w="2970"/>
        <w:gridCol w:w="2655"/>
        <w:gridCol w:w="2595"/>
        <w:tblGridChange w:id="0">
          <w:tblGrid>
            <w:gridCol w:w="3015"/>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22140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10"/>
                              <a:srcRect l="0" t="0" r="0" b="0"/>
                              <a:stretch/>
                            </pic:blipFill>
                            <pic:spPr bwMode="auto">
                              <a:xfrm>
                                <a:off x="0" y="0"/>
                                <a:ext cx="540000" cy="2214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2.52pt;height:17.43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r>
              <w:rPr>
                <w:shd w:val="clear" w:color="auto" w:fill="b497d6"/>
                <w:rtl w:val="0"/>
              </w:rPr>
            </w:r>
            <w:r>
              <w:rPr>
                <w:shd w:val="clear" w:color="auto" w:fill="b497d6"/>
              </w:rPr>
            </w:r>
            <w:r>
              <w:rPr>
                <w:shd w:val="clear" w:color="auto" w:fill="f1c40f"/>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ind/>
              <w:rPr/>
            </w:pPr>
            <w:r>
              <w:rPr>
                <w:rtl w:val="0"/>
              </w:rPr>
              <w:t xml:space="preserve">Besoin d’un porteur. Intention.</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Améliorer l'accessibilité et l'expérience utilisateur des sites internet de services dématérialisés publics</w:t>
            </w:r>
            <w:r/>
          </w:p>
        </w:tc>
      </w:tr>
      <w:tr>
        <w:trPr>
          <w:cantSplit w:val="false"/>
          <w:trHeight w:val="540"/>
        </w:trPr>
        <w:tc>
          <w:tcPr>
            <w:shd w:val="clear" w:color="auto" w:fill="auto"/>
            <w:tcBorders/>
            <w:vAlign w:val="center"/>
            <w:textDirection w:val="lrTb"/>
            <w:noWrap w:val="false"/>
          </w:tcPr>
          <w:p>
            <w:pPr>
              <w:pBdr/>
              <w:spacing/>
              <w:ind/>
              <w:rPr>
                <w:b/>
                <w:sz w:val="24"/>
                <w:szCs w:val="24"/>
              </w:rPr>
            </w:pPr>
            <w:r>
              <w:rPr>
                <w:b/>
                <w:sz w:val="24"/>
                <w:szCs w:val="24"/>
                <w:rtl w:val="0"/>
              </w:rPr>
              <w:t xml:space="preserve">PILOTE(S) / PORTEUR(S)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“Précurseurs” sur le sujet de l'accessibilité du Var</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Collectivités</w:t>
            </w:r>
            <w:r/>
          </w:p>
          <w:p>
            <w:pPr>
              <w:pBdr/>
              <w:spacing/>
              <w:ind/>
              <w:rPr/>
            </w:pPr>
            <w:r>
              <w:rPr>
                <w:rtl w:val="0"/>
              </w:rPr>
              <w:t xml:space="preserve">Acteurs institutionnels</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2"/>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2"/>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commentRangeStart w:id="4"/>
            <w:r>
              <w:rPr>
                <w:rtl w:val="0"/>
              </w:rPr>
              <w:t xml:space="preserve">Une récente étu</w:t>
            </w:r>
            <w:r>
              <w:rPr>
                <w:rtl w:val="0"/>
              </w:rPr>
              <w:t xml:space="preserve">de de la banque des territoires indique que 96% des communes de France ne disposent pas d’un site internet conforme aux règles d’accessibilité. En sus de cela, ces sites internet sont communément décriés comme étant peu ergonomiques et intuitifs à utiliser</w:t>
            </w:r>
            <w:commentRangeEnd w:id="4"/>
            <w:r>
              <w:commentReference w:id="4"/>
            </w:r>
            <w:r>
              <w:rPr>
                <w:rtl w:val="0"/>
              </w:rPr>
              <w:t xml:space="preserve">. Dans le Var, la note moyenne des communes évaluée est à F </w:t>
            </w:r>
            <w:commentRangeStart w:id="5"/>
            <w:r>
              <w:rPr>
                <w:rtl w:val="0"/>
              </w:rPr>
              <w:t xml:space="preserve">sur une échelle de A à F</w:t>
            </w:r>
            <w:commentRangeEnd w:id="5"/>
            <w:r>
              <w:commentReference w:id="5"/>
            </w:r>
            <w:r>
              <w:rPr>
                <w:rtl w:val="0"/>
              </w:rPr>
              <w:t xml:space="preserve">.  Pourtant, le Var n’es</w:t>
            </w:r>
            <w:r>
              <w:rPr>
                <w:rtl w:val="0"/>
              </w:rPr>
              <w:t xml:space="preserve">t pas dépourvu d’acteurs portant des initiatives visant à améliorer l’accessibilité de ces sites internet (Département, TPM, CAF, etc.). Il est pertinent que les initiatives portées par les “précurseurs” puissent servir à tous afin de gagner en efficience.</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pBdr/>
              <w:spacing w:after="0" w:before="0" w:line="240" w:lineRule="auto"/>
              <w:ind/>
              <w:jc w:val="left"/>
              <w:rPr/>
            </w:pPr>
            <w:r>
              <w:rPr>
                <w:rtl w:val="0"/>
              </w:rPr>
              <w:t xml:space="preserve">Deux enjeux : </w:t>
            </w:r>
            <w:r/>
          </w:p>
          <w:p>
            <w:pPr>
              <w:numPr>
                <w:ilvl w:val="0"/>
                <w:numId w:val="1"/>
              </w:numPr>
              <w:pBdr/>
              <w:spacing w:after="0" w:before="0" w:line="240" w:lineRule="auto"/>
              <w:ind w:hanging="360" w:left="720"/>
              <w:jc w:val="left"/>
              <w:rPr>
                <w:u w:val="none"/>
              </w:rPr>
            </w:pPr>
            <w:r>
              <w:rPr>
                <w:rtl w:val="0"/>
              </w:rPr>
              <w:t xml:space="preserve">Permettre aux personnes en situation de handicap de pouvoir utiliser ces sites internet</w:t>
            </w:r>
            <w:r>
              <w:rPr>
                <w:u w:val="none"/>
              </w:rPr>
            </w:r>
            <w:r>
              <w:rPr>
                <w:u w:val="none"/>
              </w:rPr>
            </w:r>
          </w:p>
          <w:p>
            <w:pPr>
              <w:numPr>
                <w:ilvl w:val="0"/>
                <w:numId w:val="1"/>
              </w:numPr>
              <w:pBdr/>
              <w:spacing w:after="0" w:before="0" w:line="240" w:lineRule="auto"/>
              <w:ind w:hanging="360" w:left="720"/>
              <w:jc w:val="left"/>
              <w:rPr>
                <w:u w:val="none"/>
              </w:rPr>
            </w:pPr>
            <w:r>
              <w:rPr>
                <w:rtl w:val="0"/>
              </w:rPr>
              <w:t xml:space="preserve">Permettre aux usagers de profiter d’une expérience d’utilisation améliorée et simplifiée</w:t>
            </w:r>
            <w:r>
              <w:rPr>
                <w:u w:val="none"/>
              </w:rPr>
            </w:r>
            <w:r>
              <w:rPr>
                <w:u w:val="none"/>
              </w:rPr>
            </w:r>
          </w:p>
        </w:tc>
      </w:tr>
      <w:tr>
        <w:trPr>
          <w:cantSplit w:val="false"/>
          <w:trHeight w:val="1043"/>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RAS</w:t>
            </w:r>
            <w:r/>
          </w:p>
        </w:tc>
      </w:tr>
      <w:tr>
        <w:trPr>
          <w:cantSplit w:val="false"/>
          <w:trHeight w:val="1043"/>
        </w:trPr>
        <w:tc>
          <w:tcPr>
            <w:shd w:val="clear" w:color="auto" w:fill="auto"/>
            <w:tcBorders/>
            <w:vAlign w:val="center"/>
            <w:vMerge w:val="continue"/>
            <w:textDirection w:val="lrTb"/>
            <w:noWrap w:val="false"/>
          </w:tcPr>
          <w:p>
            <w:pPr>
              <w:widowControl w:val="false"/>
              <w:pBdr/>
              <w:spacing w:line="276" w:lineRule="auto"/>
              <w:ind/>
              <w:rPr>
                <w:b/>
              </w:rPr>
            </w:pPr>
            <w:r>
              <w:rPr>
                <w:rtl w:val="0"/>
              </w:rPr>
            </w:r>
            <w:r>
              <w:rPr>
                <w:b/>
              </w:rPr>
            </w:r>
            <w:r>
              <w:rPr>
                <w:b/>
              </w:rP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Proposition n° 5 : Passer d'une logique de services publics 100 % dématérialisés à une logique de services publics 100 % accessibles .</w:t>
            </w:r>
            <w:r/>
          </w:p>
          <w:p>
            <w:pPr>
              <w:pBdr/>
              <w:spacing w:after="0" w:before="0" w:line="240" w:lineRule="auto"/>
              <w:ind/>
              <w:jc w:val="both"/>
              <w:rPr/>
            </w:pPr>
            <w:r>
              <w:rPr>
                <w:rtl w:val="0"/>
              </w:rPr>
              <w:t xml:space="preserve">Proposition n° 9 : Prendre en compte dès la conception des sites internet les difficultés d'accès et d'utilisation que peuvent connaître certains usagers, et simplifier leur mise en page.</w:t>
            </w:r>
            <w:r/>
          </w:p>
          <w:p>
            <w:pPr>
              <w:pBdr/>
              <w:spacing w:after="0" w:before="0" w:line="240" w:lineRule="auto"/>
              <w:ind/>
              <w:jc w:val="both"/>
              <w:rPr/>
            </w:pPr>
            <w:r>
              <w:rPr>
                <w:rtl w:val="0"/>
              </w:rPr>
              <w:t xml:space="preserve">Proposition n° 10 : Intégrer le point de vue des usagers via des tests utilisateurs, tout au long du développement et de l'exploitation d'un site numérique public.</w:t>
            </w:r>
            <w:r/>
          </w:p>
          <w:p>
            <w:pPr>
              <w:pBdr/>
              <w:spacing w:after="0" w:before="0" w:line="240" w:lineRule="auto"/>
              <w:ind/>
              <w:jc w:val="both"/>
              <w:rPr/>
            </w:pPr>
            <w:r>
              <w:rPr>
                <w:rtl w:val="0"/>
              </w:rPr>
              <w:t xml:space="preserve">Proposition n° 11 : Rendre plus visible le label « e-accessible » et inviter chaque administration à auto-évaluer son niveau d'accessibilité.</w:t>
            </w:r>
            <w:r/>
          </w:p>
          <w:p>
            <w:pPr>
              <w:pBdr/>
              <w:spacing w:after="0" w:before="0" w:line="240" w:lineRule="auto"/>
              <w:ind/>
              <w:jc w:val="both"/>
              <w:rPr/>
            </w:pPr>
            <w:r>
              <w:rPr>
                <w:rtl w:val="0"/>
              </w:rPr>
              <w:t xml:space="preserve">Proposition n° 13 : Inciter les administrations à utiliser pleinement les ressources du fonds pour l'insertion des personnes handicapées dans la fonction publique (FIPHFP) qui peut être mobilisé pour rendre accessibles leurs sites et applications internet</w:t>
            </w:r>
            <w:r/>
          </w:p>
        </w:tc>
      </w:tr>
      <w:tr>
        <w:trPr>
          <w:cantSplit w:val="false"/>
          <w:trHeight w:val="1043"/>
        </w:trPr>
        <w:tc>
          <w:tcPr>
            <w:shd w:val="clear" w:color="auto" w:fill="auto"/>
            <w:tcBorders/>
            <w:vAlign w:val="center"/>
            <w:vMerge w:val="continue"/>
            <w:textDirection w:val="lrTb"/>
            <w:noWrap w:val="false"/>
          </w:tcPr>
          <w:p>
            <w:pPr>
              <w:widowControl w:val="false"/>
              <w:pBdr/>
              <w:spacing w:line="276" w:lineRule="auto"/>
              <w:ind/>
              <w:rPr>
                <w:b/>
              </w:rPr>
            </w:pPr>
            <w:r>
              <w:rPr>
                <w:rtl w:val="0"/>
              </w:rPr>
            </w:r>
            <w:r>
              <w:rPr>
                <w:b/>
              </w:rPr>
            </w:r>
            <w:r>
              <w:rPr>
                <w:b/>
              </w:rP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RAS</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8"/>
              </w:numPr>
              <w:pBdr/>
              <w:spacing/>
              <w:ind w:hanging="360" w:left="720"/>
              <w:rPr/>
            </w:pPr>
            <w:r>
              <w:rPr>
                <w:rtl w:val="0"/>
              </w:rPr>
              <w:t xml:space="preserve">Identifier les acteurs en pointe sur la question de l’accessibilité</w:t>
            </w:r>
            <w:r/>
          </w:p>
          <w:p>
            <w:pPr>
              <w:numPr>
                <w:ilvl w:val="0"/>
                <w:numId w:val="8"/>
              </w:numPr>
              <w:pBdr/>
              <w:spacing/>
              <w:ind w:hanging="360" w:left="720"/>
              <w:rPr>
                <w:u w:val="none"/>
              </w:rPr>
            </w:pPr>
            <w:r>
              <w:rPr>
                <w:rtl w:val="0"/>
              </w:rPr>
              <w:t xml:space="preserve">Centraliser le fruit de leur travail en un “livret blanc” de l’accessibilité</w:t>
            </w:r>
            <w:r>
              <w:rPr>
                <w:u w:val="none"/>
              </w:rPr>
            </w:r>
            <w:r>
              <w:rPr>
                <w:u w:val="none"/>
              </w:rPr>
            </w:r>
          </w:p>
          <w:p>
            <w:pPr>
              <w:numPr>
                <w:ilvl w:val="0"/>
                <w:numId w:val="8"/>
              </w:numPr>
              <w:pBdr/>
              <w:spacing/>
              <w:ind w:hanging="360" w:left="720"/>
              <w:rPr>
                <w:u w:val="none"/>
              </w:rPr>
            </w:pPr>
            <w:r>
              <w:rPr>
                <w:rtl w:val="0"/>
              </w:rPr>
              <w:t xml:space="preserve">Diffuser ce livret blanc auprès des collectivités et opérateurs</w:t>
            </w:r>
            <w:r>
              <w:rPr>
                <w:u w:val="none"/>
              </w:rPr>
            </w:r>
            <w:r>
              <w:rPr>
                <w:u w:val="none"/>
              </w:rPr>
            </w:r>
          </w:p>
          <w:p>
            <w:pPr>
              <w:numPr>
                <w:ilvl w:val="0"/>
                <w:numId w:val="8"/>
              </w:numPr>
              <w:pBdr/>
              <w:spacing/>
              <w:ind w:hanging="360" w:left="720"/>
              <w:rPr>
                <w:u w:val="none"/>
              </w:rPr>
            </w:pPr>
            <w:r>
              <w:rPr>
                <w:rtl w:val="0"/>
              </w:rPr>
              <w:t xml:space="preserve">Mesurer l'impact de cette démarche</w:t>
            </w:r>
            <w:r>
              <w:rPr>
                <w:u w:val="none"/>
              </w:rPr>
            </w:r>
            <w:r>
              <w:rPr>
                <w:u w:val="none"/>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rPr/>
            </w:pPr>
            <w:r>
              <w:rPr>
                <w:rtl w:val="0"/>
              </w:rPr>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firstLine="0" w:left="0"/>
              <w:rPr>
                <w:rFonts w:ascii="Arial" w:hAnsi="Arial" w:eastAsia="Arial" w:cs="Arial"/>
                <w:b w:val="0"/>
                <w:i w:val="0"/>
                <w:smallCaps w:val="0"/>
                <w:strike w:val="0"/>
                <w:color w:val="000000"/>
                <w:sz w:val="22"/>
                <w:szCs w:val="22"/>
                <w:u w:val="none"/>
                <w:shd w:val="clear" w:color="auto" w:fill="auto"/>
                <w:vertAlign w:val="baseline"/>
              </w:rPr>
            </w:pPr>
            <w:r>
              <w:rPr>
                <w:rtl w:val="0"/>
              </w:rPr>
            </w:r>
            <w:r>
              <w:rPr>
                <w:rFonts w:ascii="Arial" w:hAnsi="Arial" w:eastAsia="Arial" w:cs="Arial"/>
                <w:b w:val="0"/>
                <w:i w:val="0"/>
                <w:smallCaps w:val="0"/>
                <w:strike w:val="0"/>
                <w:color w:val="000000"/>
                <w:sz w:val="22"/>
                <w:szCs w:val="22"/>
                <w:u w:val="none"/>
                <w:shd w:val="clear" w:color="auto" w:fill="auto"/>
                <w:vertAlign w:val="baseline"/>
              </w:rPr>
            </w:r>
            <w:r>
              <w:rPr>
                <w:rFonts w:ascii="Arial" w:hAnsi="Arial" w:eastAsia="Arial" w:cs="Arial"/>
                <w:b w:val="0"/>
                <w:i w:val="0"/>
                <w:smallCaps w:val="0"/>
                <w:strike w:val="0"/>
                <w:color w:val="000000"/>
                <w:sz w:val="22"/>
                <w:szCs w:val="22"/>
                <w:u w:val="none"/>
                <w:shd w:val="clear" w:color="auto" w:fill="auto"/>
                <w:vertAlign w:val="baseli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5"/>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7"/>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4"/>
              </w:numPr>
              <w:pBdr/>
              <w:spacing w:after="0" w:before="0" w:line="240" w:lineRule="auto"/>
              <w:ind w:hanging="360" w:left="425"/>
              <w:rPr>
                <w:sz w:val="24"/>
                <w:szCs w:val="24"/>
                <w:u w:val="none"/>
              </w:rPr>
            </w:pPr>
            <w:r>
              <w:rPr>
                <w:sz w:val="24"/>
                <w:szCs w:val="24"/>
                <w:rtl w:val="0"/>
              </w:rPr>
              <w:t xml:space="preserve"> DÉBUT:          </w:t>
            </w:r>
            <w:r>
              <w:rPr>
                <w:sz w:val="24"/>
                <w:szCs w:val="24"/>
                <w:u w:val="none"/>
              </w:rPr>
            </w:r>
            <w:r>
              <w:rPr>
                <w:sz w:val="24"/>
                <w:szCs w:val="24"/>
                <w:u w:val="none"/>
              </w:rPr>
            </w:r>
          </w:p>
          <w:p>
            <w:pPr>
              <w:pBdr/>
              <w:spacing w:after="0" w:before="0" w:line="240" w:lineRule="auto"/>
              <w:ind w:firstLine="0" w:left="566"/>
              <w:rPr/>
            </w:pPr>
            <w:r>
              <w:rPr>
                <w:sz w:val="24"/>
                <w:szCs w:val="24"/>
                <w:rtl w:val="0"/>
              </w:rPr>
              <w:t xml:space="preserve">FIN : </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Département du Var</w:t>
            </w:r>
            <w:r>
              <w:rPr>
                <w:rtl w:val="0"/>
              </w:rPr>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Collectivités et opérateurs du Var</w:t>
            </w:r>
            <w:r>
              <w:rPr>
                <w:rtl w:val="0"/>
              </w:rPr>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Création d’un livret blanc de Varois de l’accessibilité</w:t>
            </w:r>
            <w:r/>
          </w:p>
          <w:p>
            <w:pPr>
              <w:pBdr/>
              <w:spacing w:after="0" w:before="0" w:line="240" w:lineRule="auto"/>
              <w:ind/>
              <w:rPr/>
            </w:pPr>
            <w:r>
              <w:rPr>
                <w:rtl w:val="0"/>
              </w:rPr>
              <w:t xml:space="preserve">Lancement dans les collectivités territoriales d’action visant à l’amélioration de l’accessibilité des sites internet</w:t>
            </w:r>
            <w:r/>
          </w:p>
          <w:p>
            <w:pPr>
              <w:pBdr/>
              <w:spacing w:after="0" w:before="0" w:line="240" w:lineRule="auto"/>
              <w:ind/>
              <w:rPr/>
            </w:pPr>
            <w:r>
              <w:rPr>
                <w:rtl w:val="0"/>
              </w:rPr>
              <w:t xml:space="preserve">Lancement d’une démarche d’amélioration de l’ergonomie des démarches sur internet</w:t>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Création d’un livret blanc</w:t>
            </w:r>
            <w:r/>
          </w:p>
          <w:p>
            <w:pPr>
              <w:pBdr/>
              <w:spacing w:after="0" w:before="0" w:line="240" w:lineRule="auto"/>
              <w:ind/>
              <w:rPr/>
            </w:pPr>
            <w:r>
              <w:rPr>
                <w:rtl w:val="0"/>
              </w:rPr>
              <w:t xml:space="preserve">Nombre de collectivités lançant, relançant ou continuant une démarche RGAA friendly</w:t>
            </w:r>
            <w:r/>
          </w:p>
          <w:p>
            <w:pPr>
              <w:pBdr/>
              <w:spacing w:after="0" w:before="0" w:line="240" w:lineRule="auto"/>
              <w:ind/>
              <w:rPr/>
            </w:pPr>
            <w:r>
              <w:rPr>
                <w:rtl w:val="0"/>
              </w:rPr>
              <w:t xml:space="preserve">Nombre de téléchargements du livret blanc</w:t>
            </w:r>
            <w:r/>
          </w:p>
          <w:p>
            <w:pPr>
              <w:pBdr/>
              <w:spacing w:after="0" w:before="0" w:line="240" w:lineRule="auto"/>
              <w:ind/>
              <w:rPr/>
            </w:pPr>
            <w:r>
              <w:rPr>
                <w:rtl w:val="0"/>
              </w:rPr>
              <w:t xml:space="preserve">Evolution des sites internet (score % accessibilité) sous la forme d’une cartographie</w:t>
            </w:r>
            <w:r/>
          </w:p>
        </w:tc>
      </w:tr>
      <w:tr>
        <w:trPr>
          <w:cantSplit w:val="false"/>
          <w:trHeight w:val="36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hyperlink r:id="rId11" w:tooltip="https://www.banquedesterritoires.fr/accessibilite-numerique-96-des-sites-communaux-sont-non-conformes?pk_campaign=newsletter_hebdo&amp;pk_kwd=2025-07-11&amp;pk_source=Actualit%C3%A9s_Localtis&amp;pk_medium=newsletter_hebdo" w:history="1">
              <w:r>
                <w:rPr>
                  <w:color w:val="1155cc"/>
                  <w:u w:val="single"/>
                  <w:rtl w:val="0"/>
                </w:rPr>
                <w:t xml:space="preserve">https://www.banquedesterritoires.fr/accessibilite-numerique-96-des-sites-communaux-sont-non-conformes?pk_campaign=newsletter_hebdo&amp;pk_kwd=2025-07-11&amp;pk_source=Actualit%C3%A9s_Localtis&amp;pk_medium=newsletter_hebdo</w:t>
              </w:r>
            </w:hyperlink>
            <w:r>
              <w:rPr>
                <w:rtl w:val="0"/>
              </w:rPr>
            </w:r>
            <w:r/>
          </w:p>
          <w:p>
            <w:pPr>
              <w:pBdr/>
              <w:spacing w:after="0" w:before="0" w:line="240" w:lineRule="auto"/>
              <w:ind/>
              <w:rPr/>
            </w:pPr>
            <w:r/>
            <w:hyperlink r:id="rId12" w:tooltip="https://umap.openstreetmap.fr/fr/map/mesure-de-laccessibilite-des-sites-web-des-commune_1189554#10/43.4260/6.2842" w:history="1">
              <w:r>
                <w:rPr>
                  <w:color w:val="1155cc"/>
                  <w:u w:val="single"/>
                  <w:rtl w:val="0"/>
                </w:rPr>
                <w:t xml:space="preserve">https://umap.openstreetmap.fr/fr/map/mesure-de-laccessibilite-des-sites-web-des-commune_1189554#10/43.4260/6.2842</w:t>
              </w:r>
            </w:hyperlink>
            <w:r>
              <w:rPr>
                <w:rtl w:val="0"/>
              </w:rPr>
            </w:r>
            <w:r/>
          </w:p>
          <w:p>
            <w:pPr>
              <w:pBdr/>
              <w:spacing w:after="0" w:before="0" w:line="240" w:lineRule="auto"/>
              <w:ind/>
              <w:rPr/>
            </w:pPr>
            <w:r/>
            <w:hyperlink r:id="rId13" w:tooltip="https://asqatasun.org/" w:history="1">
              <w:r>
                <w:rPr>
                  <w:color w:val="1155cc"/>
                  <w:u w:val="single"/>
                  <w:rtl w:val="0"/>
                </w:rPr>
                <w:t xml:space="preserve">Outil utilisé pour cette étude : asqatasun</w:t>
              </w:r>
            </w:hyperlink>
            <w:r>
              <w:rPr>
                <w:rtl w:val="0"/>
              </w:rPr>
            </w:r>
            <w:r/>
          </w:p>
          <w:p>
            <w:pPr>
              <w:pBdr/>
              <w:spacing w:after="0" w:before="0" w:line="240" w:lineRule="auto"/>
              <w:ind/>
              <w:rPr/>
            </w:pPr>
            <w:r/>
            <w:hyperlink r:id="rId14" w:tooltip="https://resana.numerique.gouv.fr/public/information/consulterAccessUrl?cle_url=162423341B2tTNQEJUjlRbVJiBGgEIFU5BDZWd1JrA2xRNFA4DzcEMVNiBGQDNlc0XjteaA==" w:history="1">
              <w:r>
                <w:rPr>
                  <w:color w:val="0000ee"/>
                  <w:u w:val="single"/>
                  <w:rtl w:val="0"/>
                </w:rPr>
                <w:t xml:space="preserve">Accessibilité sites communaux Var</w:t>
              </w:r>
            </w:hyperlink>
            <w:r>
              <w:rPr>
                <w:rtl w:val="0"/>
              </w:rPr>
            </w:r>
            <w:r/>
          </w:p>
          <w:p>
            <w:pPr>
              <w:pBdr/>
              <w:spacing w:after="0" w:before="0" w:line="240" w:lineRule="auto"/>
              <w:ind/>
              <w:rPr/>
            </w:pPr>
            <w:r/>
            <w:hyperlink r:id="rId15" w:tooltip="https://www.banquedesterritoires.fr/accessibilite-une-boite-outils-pour-faciliter-les-demarches-des-elus-locaux?pk_campaign=newsletter_hebdo&amp;pk_kwd=2025-09-05&amp;pk_source=Actualit%C3%A9s_Localtis&amp;pk_medium=newsletter_hebdo" w:history="1">
              <w:r>
                <w:rPr>
                  <w:color w:val="1155cc"/>
                  <w:u w:val="single"/>
                  <w:rtl w:val="0"/>
                </w:rPr>
                <w:t xml:space="preserve">https://www.banquedesterritoires.fr/accessibilite-une-boite-outils-pour-faciliter-les-demarches-des-elus-locaux?pk_campaign=newsletter_hebdo&amp;pk_kwd=2025-09-05&amp;pk_source=Actualit%C3%A9s_Localtis&amp;pk_medium=newsletter_hebdo</w:t>
              </w:r>
            </w:hyperlink>
            <w:r>
              <w:rPr>
                <w:rtl w:val="0"/>
              </w:rPr>
            </w:r>
            <w:r/>
          </w:p>
          <w:p>
            <w:pPr>
              <w:pBdr/>
              <w:spacing w:after="0" w:before="0" w:line="240" w:lineRule="auto"/>
              <w:ind/>
              <w:rPr/>
            </w:pPr>
            <w:r/>
            <w:hyperlink r:id="rId16" w:tooltip="https://www.info.gouv.fr/accessibilite/ameliorer-l-accessibilite-en-tant-qu-elu-local" w:history="1">
              <w:r>
                <w:rPr>
                  <w:color w:val="1155cc"/>
                  <w:u w:val="single"/>
                  <w:rtl w:val="0"/>
                </w:rPr>
                <w:t xml:space="preserve">Sensibilisation élus</w:t>
              </w:r>
            </w:hyperlink>
            <w:r>
              <w:rPr>
                <w:rtl w:val="0"/>
              </w:rPr>
            </w:r>
            <w:r/>
          </w:p>
          <w:p>
            <w:pPr>
              <w:pBdr/>
              <w:spacing w:after="0" w:before="0" w:line="240" w:lineRule="auto"/>
              <w:ind/>
              <w:rPr/>
            </w:pPr>
            <w:r/>
            <w:hyperlink r:id="rId17" w:tooltip="https://design.numerique.gouv.fr/outils/" w:history="1">
              <w:r>
                <w:rPr>
                  <w:color w:val="1155cc"/>
                  <w:u w:val="single"/>
                  <w:rtl w:val="0"/>
                </w:rPr>
                <w:t xml:space="preserve">Boîte à outil gouvernementaux</w:t>
              </w:r>
            </w:hyperlink>
            <w:r>
              <w:rPr>
                <w:rtl w:val="0"/>
              </w:rPr>
            </w:r>
            <w:r/>
          </w:p>
          <w:p>
            <w:pPr>
              <w:pBdr/>
              <w:spacing w:after="0" w:before="0" w:line="240" w:lineRule="auto"/>
              <w:ind/>
              <w:rPr/>
            </w:pPr>
            <w:r/>
            <w:hyperlink r:id="rId18" w:tooltip="https://design.numerique.gouv.fr/outils/diagnostic-flash/" w:history="1">
              <w:r>
                <w:rPr>
                  <w:color w:val="1155cc"/>
                  <w:u w:val="single"/>
                  <w:rtl w:val="0"/>
                </w:rPr>
                <w:t xml:space="preserve">Diagnostic flash</w:t>
              </w:r>
            </w:hyperlink>
            <w:r>
              <w:rPr>
                <w:rtl w:val="0"/>
              </w:rPr>
            </w:r>
            <w:r/>
          </w:p>
          <w:p>
            <w:pPr>
              <w:pBdr/>
              <w:spacing w:after="0" w:before="0" w:line="240" w:lineRule="auto"/>
              <w:ind/>
              <w:rPr/>
            </w:pPr>
            <w:r/>
            <w:hyperlink r:id="rId19" w:tooltip="https://design.numerique.gouv.fr/accessibilite-numerique/prestations-accessibilite-numerique/" w:history="1">
              <w:r>
                <w:rPr>
                  <w:color w:val="1155cc"/>
                  <w:u w:val="single"/>
                  <w:rtl w:val="0"/>
                </w:rPr>
                <w:t xml:space="preserve">Coût d’un audit</w:t>
              </w:r>
            </w:hyperlink>
            <w:r>
              <w:rPr>
                <w:rtl w:val="0"/>
              </w:rPr>
            </w:r>
            <w:r/>
          </w:p>
          <w:p>
            <w:pPr>
              <w:pBdr/>
              <w:spacing w:after="0" w:before="0" w:line="240" w:lineRule="auto"/>
              <w:ind/>
              <w:rPr>
                <w:highlight w:val="none"/>
              </w:rPr>
            </w:pPr>
            <w:r/>
            <w:hyperlink r:id="rId20" w:tooltip="https://www.ecologie.gouv.fr/politiques-publiques/leurope-laccessibilite" w:history="1">
              <w:r>
                <w:rPr>
                  <w:color w:val="1155cc"/>
                  <w:u w:val="single"/>
                  <w:rtl w:val="0"/>
                </w:rPr>
                <w:t xml:space="preserve">Transposition cadre légal européen en France</w:t>
              </w:r>
            </w:hyperlink>
            <w:r>
              <w:rPr>
                <w:highlight w:val="none"/>
              </w:rPr>
            </w:r>
            <w:r>
              <w:rPr>
                <w:highlight w:val="none"/>
              </w:rP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Cette action est la première pierre d’une longue phase de travail sur l’accessibilité. Car si la simplification de la mise en place des marchés est une première étape, elle se retrouvera rapidement confrontée à la réalité : le financement.</w:t>
            </w:r>
            <w:r/>
          </w:p>
          <w:p>
            <w:pPr>
              <w:pBdr/>
              <w:spacing w:after="0" w:before="0" w:line="240" w:lineRule="auto"/>
              <w:ind/>
              <w:rPr/>
            </w:pPr>
            <w:r>
              <w:rPr>
                <w:rtl w:val="0"/>
              </w:rPr>
              <w:t xml:space="preserve">Ensuite, c’est l’oc</w:t>
            </w:r>
            <w:r>
              <w:rPr>
                <w:rtl w:val="0"/>
              </w:rPr>
              <w:t xml:space="preserve">casion de revoir nos process pour y intégrer les professionnels de terrain, sortes de super-utilisateurs qui sont les plus à même à remonter les problématiques des usagers (on sort du seul RGAA ici) et à concevoir des solutions avec les équipes techniques.</w:t>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Valentin BOUSSET" w:date="2025-08-06T13:07:45Z">
    <w:p w14:paraId="00000001" w14:textId="00000001">
      <w:pPr>
        <w:spacing w:line="240" w:after="0" w:lineRule="auto" w:before="0"/>
        <w:ind w:firstLine="0" w:left="0" w:right="0"/>
        <w:jc w:val="left"/>
      </w:pPr>
      <w:r>
        <w:rPr>
          <w:rFonts w:eastAsia="Arial" w:ascii="Arial" w:hAnsi="Arial" w:cs="Arial"/>
          <w:sz w:val="22"/>
        </w:rPr>
        <w:t xml:space="preserve">ou 0.39/5</w:t>
      </w:r>
    </w:p>
  </w:comment>
  <w:comment w:id="4" w:author="Valentin BOUSSET" w:date="2025-09-17T12:27:34Z">
    <w:p w14:paraId="00000002" w14:textId="00000002">
      <w:pPr>
        <w:spacing w:line="240" w:after="0" w:lineRule="auto" w:before="0"/>
        <w:ind w:firstLine="0" w:left="0" w:right="0"/>
        <w:jc w:val="left"/>
      </w:pPr>
      <w:r>
        <w:rPr>
          <w:rFonts w:eastAsia="Arial" w:ascii="Arial" w:hAnsi="Arial" w:cs="Arial"/>
          <w:sz w:val="22"/>
        </w:rPr>
        <w:t xml:space="preserve">En fait, la non ergonomie des sites internet est relative à chacun. Mais il faut bien admettre qu'une site peu ergonomique pour le quidam le sera rarement pour une PSH.</w:t>
      </w:r>
    </w:p>
  </w:comment>
  <w:comment w:id="3" w:author="Valentin BOUSSET" w:date="2025-09-17T12:44:59Z">
    <w:p w14:paraId="00000003" w14:textId="00000003">
      <w:pPr>
        <w:spacing w:line="240" w:after="0" w:lineRule="auto" w:before="0"/>
        <w:ind w:firstLine="0" w:left="0" w:right="0"/>
        <w:jc w:val="left"/>
      </w:pPr>
      <w:r>
        <w:rPr>
          <w:rFonts w:eastAsia="Arial" w:ascii="Arial" w:hAnsi="Arial" w:cs="Arial"/>
          <w:sz w:val="22"/>
        </w:rPr>
        <w:t xml:space="preserve">peut être même pas nécessaire de parler de financement. Déjà faciliter le lancement d'une démarche d'analyse me paraît intéressant car reduciton des couts humains</w:t>
      </w:r>
    </w:p>
  </w:comment>
  <w:comment w:id="2" w:author="Valentin BOUSSET" w:date="2025-09-17T12:44:18Z">
    <w:p w14:paraId="00000004" w14:textId="00000004">
      <w:pPr>
        <w:spacing w:line="240" w:after="0" w:lineRule="auto" w:before="0"/>
        <w:ind w:firstLine="0" w:left="0" w:right="0"/>
        <w:jc w:val="left"/>
      </w:pPr>
      <w:r>
        <w:rPr>
          <w:rFonts w:eastAsia="Arial" w:ascii="Arial" w:hAnsi="Arial" w:cs="Arial"/>
          <w:sz w:val="22"/>
        </w:rPr>
        <w:t xml:space="preserve">L'idée serait finalement la suivante : </w:t>
      </w:r>
    </w:p>
    <w:p w14:paraId="00000005" w14:textId="00000005">
      <w:pPr>
        <w:spacing w:line="240" w:after="0" w:lineRule="auto" w:before="0"/>
        <w:ind w:firstLine="0" w:left="0" w:right="0"/>
        <w:jc w:val="left"/>
      </w:pPr>
      <w:r>
        <w:rPr>
          <w:rFonts w:eastAsia="Arial" w:ascii="Arial" w:hAnsi="Arial" w:cs="Arial"/>
          <w:sz w:val="22"/>
        </w:rPr>
        <w:t xml:space="preserve">On a une carto, similaire à celle de la BdT, et on la renseigne avec les scores actuels des sites internet des collectivités qui ont lancé les démarches RGAA (donc plusieurs entrées, etc.). L'objectif est de continuer de remplir cette carte pour arriver à avoir tout le monde référencé, donc d'avoir un moyen d'évaluer annuellement l'évolution, sur le Var, de l'accessibilité.</w:t>
      </w:r>
    </w:p>
    <w:p w14:paraId="00000006" w14:textId="00000006">
      <w:pPr>
        <w:spacing w:line="240" w:after="0" w:lineRule="auto" w:before="0"/>
        <w:ind w:firstLine="0" w:left="0" w:right="0"/>
        <w:jc w:val="left"/>
      </w:pPr>
      <w:r>
        <w:rPr>
          <w:rFonts w:eastAsia="Arial" w:ascii="Arial" w:hAnsi="Arial" w:cs="Arial"/>
          <w:sz w:val="22"/>
        </w:rPr>
        <w:t xml:space="preserve">En parallèle, les acteurs en avance sur le sujet se réunissent pour échanger sur leur méthodologie afin de proposer un livre blanc, mis à disposition des autres collectivités afin de leur faciliter la tâche.</w:t>
      </w:r>
    </w:p>
  </w:comment>
  <w:comment w:id="1" w:author="Valentin BOUSSET" w:date="2025-09-05T09:46:43Z">
    <w:p w14:paraId="00000007" w14:textId="00000007">
      <w:pPr>
        <w:spacing w:line="240" w:after="0" w:lineRule="auto" w:before="0"/>
        <w:ind w:firstLine="0" w:left="0" w:right="0"/>
        <w:jc w:val="left"/>
      </w:pPr>
      <w:r>
        <w:rPr>
          <w:rFonts w:eastAsia="Arial" w:ascii="Arial" w:hAnsi="Arial" w:cs="Arial"/>
          <w:sz w:val="22"/>
        </w:rPr>
        <w:t xml:space="preserve">Guillaume de ICOM Provence a mis un hola. Déjà l'étude présentée par la banque des territoires (en annexe) n'aurait pas vraiment de valeur car faite "hors cadre". La méthodologie n'est pas bonne.</w:t>
      </w:r>
    </w:p>
    <w:p w14:paraId="00000008" w14:textId="00000008">
      <w:pPr>
        <w:spacing w:line="240" w:after="0" w:lineRule="auto" w:before="0"/>
        <w:ind w:firstLine="0" w:left="0" w:right="0"/>
        <w:jc w:val="left"/>
      </w:pPr>
      <w:r>
        <w:rPr>
          <w:rFonts w:eastAsia="Arial" w:ascii="Arial" w:hAnsi="Arial" w:cs="Arial"/>
          <w:sz w:val="22"/>
        </w:rPr>
        <w:t xml:space="preserve">Ça peut donc servir d'outil d'acculturation mais est-ce vraiment nécessaire alors que tout le monde sait aujourd'hui qu'il est à la ramasse sur la question.</w:t>
      </w:r>
    </w:p>
    <w:p w14:paraId="00000009" w14:textId="00000009">
      <w:pPr>
        <w:spacing w:line="240" w:after="0" w:lineRule="auto" w:before="0"/>
        <w:ind w:firstLine="0" w:left="0" w:right="0"/>
        <w:jc w:val="left"/>
      </w:pPr>
      <w:r>
        <w:rPr>
          <w:rFonts w:eastAsia="Arial" w:ascii="Arial" w:hAnsi="Arial" w:cs="Arial"/>
          <w:sz w:val="22"/>
        </w:rPr>
        <w:t xml:space="preserve"/>
      </w:r>
    </w:p>
    <w:p w14:paraId="0000000A" w14:textId="0000000A">
      <w:pPr>
        <w:spacing w:line="240" w:after="0" w:lineRule="auto" w:before="0"/>
        <w:ind w:firstLine="0" w:left="0" w:right="0"/>
        <w:jc w:val="left"/>
      </w:pPr>
      <w:r>
        <w:rPr>
          <w:rFonts w:eastAsia="Arial" w:ascii="Arial" w:hAnsi="Arial" w:cs="Arial"/>
          <w:sz w:val="22"/>
        </w:rPr>
        <w:t xml:space="preserve">Deuxième problème : un vrai disgnostic c'est exhaustif et cher. En plus de la taille du site. Pour Chateauvert ça devrait être ok, pour Draguignan déjà plus complexe.</w:t>
      </w:r>
    </w:p>
    <w:p w14:paraId="0000000B" w14:textId="0000000B">
      <w:pPr>
        <w:spacing w:line="240" w:after="0" w:lineRule="auto" w:before="0"/>
        <w:ind w:firstLine="0" w:left="0" w:right="0"/>
        <w:jc w:val="left"/>
      </w:pPr>
      <w:r>
        <w:rPr>
          <w:rFonts w:eastAsia="Arial" w:ascii="Arial" w:hAnsi="Arial" w:cs="Arial"/>
          <w:sz w:val="22"/>
        </w:rPr>
        <w:t xml:space="preserve"/>
      </w:r>
    </w:p>
    <w:p w14:paraId="0000000C" w14:textId="0000000C">
      <w:pPr>
        <w:spacing w:line="240" w:after="0" w:lineRule="auto" w:before="0"/>
        <w:ind w:firstLine="0" w:left="0" w:right="0"/>
        <w:jc w:val="left"/>
      </w:pPr>
      <w:r>
        <w:rPr>
          <w:rFonts w:eastAsia="Arial" w:ascii="Arial" w:hAnsi="Arial" w:cs="Arial"/>
          <w:sz w:val="22"/>
        </w:rPr>
        <w:t xml:space="preserve">Troisième problème : Et après ? Très bien, on est mauvais. Qu'est ce qu'on fait ? Comment on le finance ?</w:t>
      </w:r>
    </w:p>
    <w:p w14:paraId="0000000D" w14:textId="0000000D">
      <w:pPr>
        <w:spacing w:line="240" w:after="0" w:lineRule="auto" w:before="0"/>
        <w:ind w:firstLine="0" w:left="0" w:right="0"/>
        <w:jc w:val="left"/>
      </w:pPr>
      <w:r>
        <w:rPr>
          <w:rFonts w:eastAsia="Arial" w:ascii="Arial" w:hAnsi="Arial" w:cs="Arial"/>
          <w:sz w:val="22"/>
        </w:rPr>
        <w:t xml:space="preserve"/>
      </w:r>
    </w:p>
    <w:p w14:paraId="0000000E" w14:textId="0000000E">
      <w:pPr>
        <w:spacing w:line="240" w:after="0" w:lineRule="auto" w:before="0"/>
        <w:ind w:firstLine="0" w:left="0" w:right="0"/>
        <w:jc w:val="left"/>
      </w:pPr>
      <w:r>
        <w:rPr>
          <w:rFonts w:eastAsia="Arial" w:ascii="Arial" w:hAnsi="Arial" w:cs="Arial"/>
          <w:sz w:val="22"/>
        </w:rPr>
        <w:t xml:space="preserve">Sans le premier point, l'action me paraît pertinente et facile à mener. Mais si ça ne sert à rien d'utiliser l'outil "asquatasun" parce que c'est du travail plus qu'au doigt mouillé, on doit s'interroger.</w:t>
      </w:r>
    </w:p>
    <w:p w14:paraId="0000000F" w14:textId="0000000F">
      <w:pPr>
        <w:spacing w:line="240" w:after="0" w:lineRule="auto" w:before="0"/>
        <w:ind w:firstLine="0" w:left="0" w:right="0"/>
        <w:jc w:val="left"/>
      </w:pPr>
      <w:r>
        <w:rPr>
          <w:rFonts w:eastAsia="Arial" w:ascii="Arial" w:hAnsi="Arial" w:cs="Arial"/>
          <w:sz w:val="22"/>
        </w:rPr>
        <w:t xml:space="preserve"/>
      </w:r>
    </w:p>
    <w:p w14:paraId="00000010" w14:textId="00000010">
      <w:pPr>
        <w:spacing w:line="240" w:after="0" w:lineRule="auto" w:before="0"/>
        <w:ind w:firstLine="0" w:left="0" w:right="0"/>
        <w:jc w:val="left"/>
      </w:pPr>
      <w:r>
        <w:rPr>
          <w:rFonts w:eastAsia="Arial" w:ascii="Arial" w:hAnsi="Arial" w:cs="Arial"/>
          <w:sz w:val="22"/>
        </w:rPr>
        <w:t xml:space="preserve">Je pense qu'il faut quand même tester l'outil sur des sites déjà étudiés pour voir son niveau de fiabilité + voir si ça correspond aux chiffres de l'étude.</w:t>
      </w:r>
    </w:p>
  </w:comment>
  <w:comment w:id="0" w:author="Valentin BOUSSET" w:date="2025-08-19T10:31:30Z">
    <w:p w14:paraId="00000011" w14:textId="00000011">
      <w:pPr>
        <w:spacing w:line="240" w:after="0" w:lineRule="auto" w:before="0"/>
        <w:ind w:firstLine="0" w:left="0" w:right="0"/>
        <w:jc w:val="left"/>
      </w:pPr>
      <w:r>
        <w:rPr>
          <w:rFonts w:eastAsia="Arial" w:ascii="Arial" w:hAnsi="Arial" w:cs="Arial"/>
          <w:sz w:val="22"/>
        </w:rPr>
        <w:t xml:space="preserve">On est bien sur une thématique numérique, mais comment l'aborder ? Voir avec JP</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alentin BOUSSET" w:date="2025-09-05T09:13:26Z">
    <w:p w14:paraId="00000001" w14:textId="00000001">
      <w:pPr>
        <w:spacing w:line="240" w:after="0" w:lineRule="auto" w:before="0"/>
        <w:ind w:firstLine="0" w:left="0" w:right="0"/>
        <w:jc w:val="left"/>
      </w:pPr>
      <w:r>
        <w:rPr>
          <w:rFonts w:eastAsia="Arial" w:ascii="Arial" w:hAnsi="Arial" w:cs="Arial"/>
          <w:sz w:val="22"/>
        </w:rPr>
        <w:t xml:space="preserve">deux sujets très différents avec des approches très différentes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done="0"/>
  <w15:commentEx w15:paraId="00000006" w15:done="0"/>
  <w15:commentEx w15:paraId="00000010" w15:done="0"/>
  <w15:commentEx w15:paraId="00000011"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0A4673C6"/>
  <w16cid:commentId w16cid:paraId="00000002" w16cid:durableId="4EE657C9"/>
  <w16cid:commentId w16cid:paraId="00000003" w16cid:durableId="1EB3CDA4"/>
  <w16cid:commentId w16cid:paraId="00000006" w16cid:durableId="4D35D401"/>
  <w16cid:commentId w16cid:paraId="00000010" w16cid:durableId="343019B9"/>
  <w16cid:commentId w16cid:paraId="00000011" w16cid:durableId="481C00D9"/>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102D13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4">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Table Grid"/>
    <w:basedOn w:val="71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Table Grid Light"/>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1"/>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2"/>
    <w:basedOn w:val="71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3"/>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4"/>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5"/>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w:basedOn w:val="7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w:basedOn w:val="7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1"/>
    <w:basedOn w:val="7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2"/>
    <w:basedOn w:val="7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3"/>
    <w:basedOn w:val="7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4"/>
    <w:basedOn w:val="7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5"/>
    <w:basedOn w:val="7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6"/>
    <w:basedOn w:val="7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Accent 1"/>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2"/>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3"/>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4"/>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5"/>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6"/>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3">
    <w:name w:val="Grid Table 6 Colorful - Accent 1"/>
    <w:basedOn w:val="7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4">
    <w:name w:val="Grid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5">
    <w:name w:val="Grid Table 6 Colorful - Accent 3"/>
    <w:basedOn w:val="7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6">
    <w:name w:val="Grid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7">
    <w:name w:val="Grid Table 6 Colorful - Accent 5"/>
    <w:basedOn w:val="7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8">
    <w:name w:val="Grid Table 6 Colorful - Accent 6"/>
    <w:basedOn w:val="7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9">
    <w:name w:val="Grid Table 7 Colorful"/>
    <w:basedOn w:val="7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1"/>
    <w:basedOn w:val="7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5"/>
    <w:basedOn w:val="7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6"/>
    <w:basedOn w:val="7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1"/>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2"/>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3"/>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4"/>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5"/>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6"/>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w:basedOn w:val="7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1"/>
    <w:basedOn w:val="7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2"/>
    <w:basedOn w:val="7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3"/>
    <w:basedOn w:val="7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4"/>
    <w:basedOn w:val="7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5"/>
    <w:basedOn w:val="7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6"/>
    <w:basedOn w:val="7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1"/>
    <w:basedOn w:val="7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3"/>
    <w:basedOn w:val="7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5"/>
    <w:basedOn w:val="7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6"/>
    <w:basedOn w:val="7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1"/>
    <w:basedOn w:val="7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2"/>
    <w:basedOn w:val="7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3"/>
    <w:basedOn w:val="7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4"/>
    <w:basedOn w:val="7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5"/>
    <w:basedOn w:val="7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6"/>
    <w:basedOn w:val="7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5 Dark"/>
    <w:basedOn w:val="7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1"/>
    <w:basedOn w:val="7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2"/>
    <w:basedOn w:val="7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3"/>
    <w:basedOn w:val="7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4"/>
    <w:basedOn w:val="7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5"/>
    <w:basedOn w:val="7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6"/>
    <w:basedOn w:val="7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1"/>
    <w:basedOn w:val="7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3"/>
    <w:basedOn w:val="7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5"/>
    <w:basedOn w:val="7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6"/>
    <w:basedOn w:val="7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7 Colorful"/>
    <w:basedOn w:val="7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9">
    <w:name w:val="List Table 7 Colorful - Accent 1"/>
    <w:basedOn w:val="7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0">
    <w:name w:val="List Table 7 Colorful - Accent 2"/>
    <w:basedOn w:val="7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1">
    <w:name w:val="List Table 7 Colorful - Accent 3"/>
    <w:basedOn w:val="7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2">
    <w:name w:val="List Table 7 Colorful - Accent 4"/>
    <w:basedOn w:val="7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3">
    <w:name w:val="List Table 7 Colorful - Accent 5"/>
    <w:basedOn w:val="7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4">
    <w:name w:val="List Table 7 Colorful - Accent 6"/>
    <w:basedOn w:val="7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5">
    <w:name w:val="Lined - Accent"/>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1"/>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2"/>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3"/>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4"/>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5"/>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6"/>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w:basedOn w:val="7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1"/>
    <w:basedOn w:val="7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2"/>
    <w:basedOn w:val="7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3"/>
    <w:basedOn w:val="7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4"/>
    <w:basedOn w:val="7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5"/>
    <w:basedOn w:val="7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6"/>
    <w:basedOn w:val="7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w:basedOn w:val="7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6">
    <w:name w:val="Heading 7"/>
    <w:basedOn w:val="900"/>
    <w:next w:val="900"/>
    <w:link w:val="85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47">
    <w:name w:val="Heading 8"/>
    <w:basedOn w:val="900"/>
    <w:next w:val="900"/>
    <w:link w:val="85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48">
    <w:name w:val="Heading 9"/>
    <w:basedOn w:val="900"/>
    <w:next w:val="900"/>
    <w:link w:val="85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9" w:default="1">
    <w:name w:val="Default Paragraph Font"/>
    <w:uiPriority w:val="1"/>
    <w:semiHidden/>
    <w:unhideWhenUsed/>
    <w:pPr>
      <w:pBdr/>
      <w:spacing/>
      <w:ind/>
    </w:pPr>
  </w:style>
  <w:style w:type="numbering" w:styleId="850" w:default="1">
    <w:name w:val="No List"/>
    <w:uiPriority w:val="99"/>
    <w:semiHidden/>
    <w:unhideWhenUsed/>
    <w:pPr>
      <w:pBdr/>
      <w:spacing/>
      <w:ind/>
    </w:pPr>
  </w:style>
  <w:style w:type="character" w:styleId="851">
    <w:name w:val="Heading 1 Char"/>
    <w:basedOn w:val="849"/>
    <w:link w:val="901"/>
    <w:uiPriority w:val="9"/>
    <w:pPr>
      <w:pBdr/>
      <w:spacing/>
      <w:ind/>
    </w:pPr>
    <w:rPr>
      <w:rFonts w:ascii="Arial" w:hAnsi="Arial" w:eastAsia="Arial" w:cs="Arial"/>
      <w:color w:val="0f4761" w:themeColor="accent1" w:themeShade="BF"/>
      <w:sz w:val="40"/>
      <w:szCs w:val="40"/>
    </w:rPr>
  </w:style>
  <w:style w:type="character" w:styleId="852">
    <w:name w:val="Heading 2 Char"/>
    <w:basedOn w:val="849"/>
    <w:link w:val="902"/>
    <w:uiPriority w:val="9"/>
    <w:pPr>
      <w:pBdr/>
      <w:spacing/>
      <w:ind/>
    </w:pPr>
    <w:rPr>
      <w:rFonts w:ascii="Arial" w:hAnsi="Arial" w:eastAsia="Arial" w:cs="Arial"/>
      <w:color w:val="0f4761" w:themeColor="accent1" w:themeShade="BF"/>
      <w:sz w:val="32"/>
      <w:szCs w:val="32"/>
    </w:rPr>
  </w:style>
  <w:style w:type="character" w:styleId="853">
    <w:name w:val="Heading 3 Char"/>
    <w:basedOn w:val="849"/>
    <w:link w:val="903"/>
    <w:uiPriority w:val="9"/>
    <w:pPr>
      <w:pBdr/>
      <w:spacing/>
      <w:ind/>
    </w:pPr>
    <w:rPr>
      <w:rFonts w:ascii="Arial" w:hAnsi="Arial" w:eastAsia="Arial" w:cs="Arial"/>
      <w:color w:val="0f4761" w:themeColor="accent1" w:themeShade="BF"/>
      <w:sz w:val="28"/>
      <w:szCs w:val="28"/>
    </w:rPr>
  </w:style>
  <w:style w:type="character" w:styleId="854">
    <w:name w:val="Heading 4 Char"/>
    <w:basedOn w:val="849"/>
    <w:link w:val="904"/>
    <w:uiPriority w:val="9"/>
    <w:pPr>
      <w:pBdr/>
      <w:spacing/>
      <w:ind/>
    </w:pPr>
    <w:rPr>
      <w:rFonts w:ascii="Arial" w:hAnsi="Arial" w:eastAsia="Arial" w:cs="Arial"/>
      <w:i/>
      <w:iCs/>
      <w:color w:val="0f4761" w:themeColor="accent1" w:themeShade="BF"/>
    </w:rPr>
  </w:style>
  <w:style w:type="character" w:styleId="855">
    <w:name w:val="Heading 5 Char"/>
    <w:basedOn w:val="849"/>
    <w:link w:val="905"/>
    <w:uiPriority w:val="9"/>
    <w:pPr>
      <w:pBdr/>
      <w:spacing/>
      <w:ind/>
    </w:pPr>
    <w:rPr>
      <w:rFonts w:ascii="Arial" w:hAnsi="Arial" w:eastAsia="Arial" w:cs="Arial"/>
      <w:color w:val="0f4761" w:themeColor="accent1" w:themeShade="BF"/>
    </w:rPr>
  </w:style>
  <w:style w:type="character" w:styleId="856">
    <w:name w:val="Heading 6 Char"/>
    <w:basedOn w:val="849"/>
    <w:link w:val="906"/>
    <w:uiPriority w:val="9"/>
    <w:pPr>
      <w:pBdr/>
      <w:spacing/>
      <w:ind/>
    </w:pPr>
    <w:rPr>
      <w:rFonts w:ascii="Arial" w:hAnsi="Arial" w:eastAsia="Arial" w:cs="Arial"/>
      <w:i/>
      <w:iCs/>
      <w:color w:val="595959" w:themeColor="text1" w:themeTint="A6"/>
    </w:rPr>
  </w:style>
  <w:style w:type="character" w:styleId="857">
    <w:name w:val="Heading 7 Char"/>
    <w:basedOn w:val="849"/>
    <w:link w:val="846"/>
    <w:uiPriority w:val="9"/>
    <w:pPr>
      <w:pBdr/>
      <w:spacing/>
      <w:ind/>
    </w:pPr>
    <w:rPr>
      <w:rFonts w:ascii="Arial" w:hAnsi="Arial" w:eastAsia="Arial" w:cs="Arial"/>
      <w:color w:val="595959" w:themeColor="text1" w:themeTint="A6"/>
    </w:rPr>
  </w:style>
  <w:style w:type="character" w:styleId="858">
    <w:name w:val="Heading 8 Char"/>
    <w:basedOn w:val="849"/>
    <w:link w:val="847"/>
    <w:uiPriority w:val="9"/>
    <w:pPr>
      <w:pBdr/>
      <w:spacing/>
      <w:ind/>
    </w:pPr>
    <w:rPr>
      <w:rFonts w:ascii="Arial" w:hAnsi="Arial" w:eastAsia="Arial" w:cs="Arial"/>
      <w:i/>
      <w:iCs/>
      <w:color w:val="272727" w:themeColor="text1" w:themeTint="D8"/>
    </w:rPr>
  </w:style>
  <w:style w:type="character" w:styleId="859">
    <w:name w:val="Heading 9 Char"/>
    <w:basedOn w:val="849"/>
    <w:link w:val="848"/>
    <w:uiPriority w:val="9"/>
    <w:pPr>
      <w:pBdr/>
      <w:spacing/>
      <w:ind/>
    </w:pPr>
    <w:rPr>
      <w:rFonts w:ascii="Arial" w:hAnsi="Arial" w:eastAsia="Arial" w:cs="Arial"/>
      <w:i/>
      <w:iCs/>
      <w:color w:val="272727" w:themeColor="text1" w:themeTint="D8"/>
    </w:rPr>
  </w:style>
  <w:style w:type="character" w:styleId="860">
    <w:name w:val="Title Char"/>
    <w:basedOn w:val="849"/>
    <w:link w:val="907"/>
    <w:uiPriority w:val="10"/>
    <w:pPr>
      <w:pBdr/>
      <w:spacing/>
      <w:ind/>
    </w:pPr>
    <w:rPr>
      <w:rFonts w:ascii="Arial" w:hAnsi="Arial" w:eastAsia="Arial" w:cs="Arial"/>
      <w:spacing w:val="-10"/>
      <w:sz w:val="56"/>
      <w:szCs w:val="56"/>
    </w:rPr>
  </w:style>
  <w:style w:type="character" w:styleId="861">
    <w:name w:val="Subtitle Char"/>
    <w:basedOn w:val="849"/>
    <w:link w:val="908"/>
    <w:uiPriority w:val="11"/>
    <w:pPr>
      <w:pBdr/>
      <w:spacing/>
      <w:ind/>
    </w:pPr>
    <w:rPr>
      <w:color w:val="595959" w:themeColor="text1" w:themeTint="A6"/>
      <w:spacing w:val="15"/>
      <w:sz w:val="28"/>
      <w:szCs w:val="28"/>
    </w:rPr>
  </w:style>
  <w:style w:type="paragraph" w:styleId="862">
    <w:name w:val="Quote"/>
    <w:basedOn w:val="900"/>
    <w:next w:val="900"/>
    <w:link w:val="863"/>
    <w:uiPriority w:val="29"/>
    <w:qFormat/>
    <w:pPr>
      <w:pBdr/>
      <w:spacing w:before="160"/>
      <w:ind/>
      <w:jc w:val="center"/>
    </w:pPr>
    <w:rPr>
      <w:i/>
      <w:iCs/>
      <w:color w:val="404040" w:themeColor="text1" w:themeTint="BF"/>
    </w:rPr>
  </w:style>
  <w:style w:type="character" w:styleId="863">
    <w:name w:val="Quote Char"/>
    <w:basedOn w:val="849"/>
    <w:link w:val="862"/>
    <w:uiPriority w:val="29"/>
    <w:pPr>
      <w:pBdr/>
      <w:spacing/>
      <w:ind/>
    </w:pPr>
    <w:rPr>
      <w:i/>
      <w:iCs/>
      <w:color w:val="404040" w:themeColor="text1" w:themeTint="BF"/>
    </w:rPr>
  </w:style>
  <w:style w:type="paragraph" w:styleId="864">
    <w:name w:val="List Paragraph"/>
    <w:basedOn w:val="900"/>
    <w:uiPriority w:val="34"/>
    <w:qFormat/>
    <w:pPr>
      <w:pBdr/>
      <w:spacing/>
      <w:ind w:left="720"/>
      <w:contextualSpacing w:val="true"/>
    </w:pPr>
  </w:style>
  <w:style w:type="character" w:styleId="865">
    <w:name w:val="Intense Emphasis"/>
    <w:basedOn w:val="849"/>
    <w:uiPriority w:val="21"/>
    <w:qFormat/>
    <w:pPr>
      <w:pBdr/>
      <w:spacing/>
      <w:ind/>
    </w:pPr>
    <w:rPr>
      <w:i/>
      <w:iCs/>
      <w:color w:val="0f4761" w:themeColor="accent1" w:themeShade="BF"/>
    </w:rPr>
  </w:style>
  <w:style w:type="paragraph" w:styleId="866">
    <w:name w:val="Intense Quote"/>
    <w:basedOn w:val="900"/>
    <w:next w:val="900"/>
    <w:link w:val="8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7">
    <w:name w:val="Intense Quote Char"/>
    <w:basedOn w:val="849"/>
    <w:link w:val="866"/>
    <w:uiPriority w:val="30"/>
    <w:pPr>
      <w:pBdr/>
      <w:spacing/>
      <w:ind/>
    </w:pPr>
    <w:rPr>
      <w:i/>
      <w:iCs/>
      <w:color w:val="0f4761" w:themeColor="accent1" w:themeShade="BF"/>
    </w:rPr>
  </w:style>
  <w:style w:type="character" w:styleId="868">
    <w:name w:val="Intense Reference"/>
    <w:basedOn w:val="849"/>
    <w:uiPriority w:val="32"/>
    <w:qFormat/>
    <w:pPr>
      <w:pBdr/>
      <w:spacing/>
      <w:ind/>
    </w:pPr>
    <w:rPr>
      <w:b/>
      <w:bCs/>
      <w:smallCaps/>
      <w:color w:val="0f4761" w:themeColor="accent1" w:themeShade="BF"/>
      <w:spacing w:val="5"/>
    </w:rPr>
  </w:style>
  <w:style w:type="paragraph" w:styleId="869">
    <w:name w:val="No Spacing"/>
    <w:basedOn w:val="900"/>
    <w:uiPriority w:val="1"/>
    <w:qFormat/>
    <w:pPr>
      <w:pBdr/>
      <w:spacing w:after="0" w:line="240" w:lineRule="auto"/>
      <w:ind/>
    </w:pPr>
  </w:style>
  <w:style w:type="character" w:styleId="870">
    <w:name w:val="Subtle Emphasis"/>
    <w:basedOn w:val="849"/>
    <w:uiPriority w:val="19"/>
    <w:qFormat/>
    <w:pPr>
      <w:pBdr/>
      <w:spacing/>
      <w:ind/>
    </w:pPr>
    <w:rPr>
      <w:i/>
      <w:iCs/>
      <w:color w:val="404040" w:themeColor="text1" w:themeTint="BF"/>
    </w:rPr>
  </w:style>
  <w:style w:type="character" w:styleId="871">
    <w:name w:val="Emphasis"/>
    <w:basedOn w:val="849"/>
    <w:uiPriority w:val="20"/>
    <w:qFormat/>
    <w:pPr>
      <w:pBdr/>
      <w:spacing/>
      <w:ind/>
    </w:pPr>
    <w:rPr>
      <w:i/>
      <w:iCs/>
    </w:rPr>
  </w:style>
  <w:style w:type="character" w:styleId="872">
    <w:name w:val="Strong"/>
    <w:basedOn w:val="849"/>
    <w:uiPriority w:val="22"/>
    <w:qFormat/>
    <w:pPr>
      <w:pBdr/>
      <w:spacing/>
      <w:ind/>
    </w:pPr>
    <w:rPr>
      <w:b/>
      <w:bCs/>
    </w:rPr>
  </w:style>
  <w:style w:type="character" w:styleId="873">
    <w:name w:val="Subtle Reference"/>
    <w:basedOn w:val="849"/>
    <w:uiPriority w:val="31"/>
    <w:qFormat/>
    <w:pPr>
      <w:pBdr/>
      <w:spacing/>
      <w:ind/>
    </w:pPr>
    <w:rPr>
      <w:smallCaps/>
      <w:color w:val="5a5a5a" w:themeColor="text1" w:themeTint="A5"/>
    </w:rPr>
  </w:style>
  <w:style w:type="character" w:styleId="874">
    <w:name w:val="Book Title"/>
    <w:basedOn w:val="849"/>
    <w:uiPriority w:val="33"/>
    <w:qFormat/>
    <w:pPr>
      <w:pBdr/>
      <w:spacing/>
      <w:ind/>
    </w:pPr>
    <w:rPr>
      <w:b/>
      <w:bCs/>
      <w:i/>
      <w:iCs/>
      <w:spacing w:val="5"/>
    </w:rPr>
  </w:style>
  <w:style w:type="paragraph" w:styleId="875">
    <w:name w:val="Header"/>
    <w:basedOn w:val="900"/>
    <w:link w:val="876"/>
    <w:uiPriority w:val="99"/>
    <w:unhideWhenUsed/>
    <w:pPr>
      <w:pBdr/>
      <w:tabs>
        <w:tab w:val="center" w:leader="none" w:pos="4844"/>
        <w:tab w:val="right" w:leader="none" w:pos="9689"/>
      </w:tabs>
      <w:spacing w:after="0" w:line="240" w:lineRule="auto"/>
      <w:ind/>
    </w:pPr>
  </w:style>
  <w:style w:type="character" w:styleId="876">
    <w:name w:val="Header Char"/>
    <w:basedOn w:val="849"/>
    <w:link w:val="875"/>
    <w:uiPriority w:val="99"/>
    <w:pPr>
      <w:pBdr/>
      <w:spacing/>
      <w:ind/>
    </w:pPr>
  </w:style>
  <w:style w:type="paragraph" w:styleId="877">
    <w:name w:val="Footer"/>
    <w:basedOn w:val="900"/>
    <w:link w:val="878"/>
    <w:uiPriority w:val="99"/>
    <w:unhideWhenUsed/>
    <w:pPr>
      <w:pBdr/>
      <w:tabs>
        <w:tab w:val="center" w:leader="none" w:pos="4844"/>
        <w:tab w:val="right" w:leader="none" w:pos="9689"/>
      </w:tabs>
      <w:spacing w:after="0" w:line="240" w:lineRule="auto"/>
      <w:ind/>
    </w:pPr>
  </w:style>
  <w:style w:type="character" w:styleId="878">
    <w:name w:val="Footer Char"/>
    <w:basedOn w:val="849"/>
    <w:link w:val="877"/>
    <w:uiPriority w:val="99"/>
    <w:pPr>
      <w:pBdr/>
      <w:spacing/>
      <w:ind/>
    </w:pPr>
  </w:style>
  <w:style w:type="paragraph" w:styleId="879">
    <w:name w:val="Caption"/>
    <w:basedOn w:val="900"/>
    <w:next w:val="900"/>
    <w:uiPriority w:val="35"/>
    <w:unhideWhenUsed/>
    <w:qFormat/>
    <w:pPr>
      <w:pBdr/>
      <w:spacing w:after="200" w:line="240" w:lineRule="auto"/>
      <w:ind/>
    </w:pPr>
    <w:rPr>
      <w:i/>
      <w:iCs/>
      <w:color w:val="0e2841" w:themeColor="text2"/>
      <w:sz w:val="18"/>
      <w:szCs w:val="18"/>
    </w:rPr>
  </w:style>
  <w:style w:type="paragraph" w:styleId="880">
    <w:name w:val="footnote text"/>
    <w:basedOn w:val="900"/>
    <w:link w:val="881"/>
    <w:uiPriority w:val="99"/>
    <w:semiHidden/>
    <w:unhideWhenUsed/>
    <w:pPr>
      <w:pBdr/>
      <w:spacing w:after="0" w:line="240" w:lineRule="auto"/>
      <w:ind/>
    </w:pPr>
    <w:rPr>
      <w:sz w:val="20"/>
      <w:szCs w:val="20"/>
    </w:rPr>
  </w:style>
  <w:style w:type="character" w:styleId="881">
    <w:name w:val="Footnote Text Char"/>
    <w:basedOn w:val="849"/>
    <w:link w:val="880"/>
    <w:uiPriority w:val="99"/>
    <w:semiHidden/>
    <w:pPr>
      <w:pBdr/>
      <w:spacing/>
      <w:ind/>
    </w:pPr>
    <w:rPr>
      <w:sz w:val="20"/>
      <w:szCs w:val="20"/>
    </w:rPr>
  </w:style>
  <w:style w:type="character" w:styleId="882">
    <w:name w:val="footnote reference"/>
    <w:basedOn w:val="849"/>
    <w:uiPriority w:val="99"/>
    <w:semiHidden/>
    <w:unhideWhenUsed/>
    <w:pPr>
      <w:pBdr/>
      <w:spacing/>
      <w:ind/>
    </w:pPr>
    <w:rPr>
      <w:vertAlign w:val="superscript"/>
    </w:rPr>
  </w:style>
  <w:style w:type="paragraph" w:styleId="883">
    <w:name w:val="endnote text"/>
    <w:basedOn w:val="900"/>
    <w:link w:val="884"/>
    <w:uiPriority w:val="99"/>
    <w:semiHidden/>
    <w:unhideWhenUsed/>
    <w:pPr>
      <w:pBdr/>
      <w:spacing w:after="0" w:line="240" w:lineRule="auto"/>
      <w:ind/>
    </w:pPr>
    <w:rPr>
      <w:sz w:val="20"/>
      <w:szCs w:val="20"/>
    </w:rPr>
  </w:style>
  <w:style w:type="character" w:styleId="884">
    <w:name w:val="Endnote Text Char"/>
    <w:basedOn w:val="849"/>
    <w:link w:val="883"/>
    <w:uiPriority w:val="99"/>
    <w:semiHidden/>
    <w:pPr>
      <w:pBdr/>
      <w:spacing/>
      <w:ind/>
    </w:pPr>
    <w:rPr>
      <w:sz w:val="20"/>
      <w:szCs w:val="20"/>
    </w:rPr>
  </w:style>
  <w:style w:type="character" w:styleId="885">
    <w:name w:val="endnote reference"/>
    <w:basedOn w:val="849"/>
    <w:uiPriority w:val="99"/>
    <w:semiHidden/>
    <w:unhideWhenUsed/>
    <w:pPr>
      <w:pBdr/>
      <w:spacing/>
      <w:ind/>
    </w:pPr>
    <w:rPr>
      <w:vertAlign w:val="superscript"/>
    </w:rPr>
  </w:style>
  <w:style w:type="character" w:styleId="886">
    <w:name w:val="Hyperlink"/>
    <w:basedOn w:val="849"/>
    <w:uiPriority w:val="99"/>
    <w:unhideWhenUsed/>
    <w:pPr>
      <w:pBdr/>
      <w:spacing/>
      <w:ind/>
    </w:pPr>
    <w:rPr>
      <w:color w:val="0563c1" w:themeColor="hyperlink"/>
      <w:u w:val="single"/>
    </w:rPr>
  </w:style>
  <w:style w:type="character" w:styleId="887">
    <w:name w:val="FollowedHyperlink"/>
    <w:basedOn w:val="849"/>
    <w:uiPriority w:val="99"/>
    <w:semiHidden/>
    <w:unhideWhenUsed/>
    <w:pPr>
      <w:pBdr/>
      <w:spacing/>
      <w:ind/>
    </w:pPr>
    <w:rPr>
      <w:color w:val="954f72" w:themeColor="followedHyperlink"/>
      <w:u w:val="single"/>
    </w:rPr>
  </w:style>
  <w:style w:type="paragraph" w:styleId="888">
    <w:name w:val="toc 1"/>
    <w:basedOn w:val="900"/>
    <w:next w:val="900"/>
    <w:uiPriority w:val="39"/>
    <w:unhideWhenUsed/>
    <w:pPr>
      <w:pBdr/>
      <w:spacing w:after="100"/>
      <w:ind/>
    </w:pPr>
  </w:style>
  <w:style w:type="paragraph" w:styleId="889">
    <w:name w:val="toc 2"/>
    <w:basedOn w:val="900"/>
    <w:next w:val="900"/>
    <w:uiPriority w:val="39"/>
    <w:unhideWhenUsed/>
    <w:pPr>
      <w:pBdr/>
      <w:spacing w:after="100"/>
      <w:ind w:left="220"/>
    </w:pPr>
  </w:style>
  <w:style w:type="paragraph" w:styleId="890">
    <w:name w:val="toc 3"/>
    <w:basedOn w:val="900"/>
    <w:next w:val="900"/>
    <w:uiPriority w:val="39"/>
    <w:unhideWhenUsed/>
    <w:pPr>
      <w:pBdr/>
      <w:spacing w:after="100"/>
      <w:ind w:left="440"/>
    </w:pPr>
  </w:style>
  <w:style w:type="paragraph" w:styleId="891">
    <w:name w:val="toc 4"/>
    <w:basedOn w:val="900"/>
    <w:next w:val="900"/>
    <w:uiPriority w:val="39"/>
    <w:unhideWhenUsed/>
    <w:pPr>
      <w:pBdr/>
      <w:spacing w:after="100"/>
      <w:ind w:left="660"/>
    </w:pPr>
  </w:style>
  <w:style w:type="paragraph" w:styleId="892">
    <w:name w:val="toc 5"/>
    <w:basedOn w:val="900"/>
    <w:next w:val="900"/>
    <w:uiPriority w:val="39"/>
    <w:unhideWhenUsed/>
    <w:pPr>
      <w:pBdr/>
      <w:spacing w:after="100"/>
      <w:ind w:left="880"/>
    </w:pPr>
  </w:style>
  <w:style w:type="paragraph" w:styleId="893">
    <w:name w:val="toc 6"/>
    <w:basedOn w:val="900"/>
    <w:next w:val="900"/>
    <w:uiPriority w:val="39"/>
    <w:unhideWhenUsed/>
    <w:pPr>
      <w:pBdr/>
      <w:spacing w:after="100"/>
      <w:ind w:left="1100"/>
    </w:pPr>
  </w:style>
  <w:style w:type="paragraph" w:styleId="894">
    <w:name w:val="toc 7"/>
    <w:basedOn w:val="900"/>
    <w:next w:val="900"/>
    <w:uiPriority w:val="39"/>
    <w:unhideWhenUsed/>
    <w:pPr>
      <w:pBdr/>
      <w:spacing w:after="100"/>
      <w:ind w:left="1320"/>
    </w:pPr>
  </w:style>
  <w:style w:type="paragraph" w:styleId="895">
    <w:name w:val="toc 8"/>
    <w:basedOn w:val="900"/>
    <w:next w:val="900"/>
    <w:uiPriority w:val="39"/>
    <w:unhideWhenUsed/>
    <w:pPr>
      <w:pBdr/>
      <w:spacing w:after="100"/>
      <w:ind w:left="1540"/>
    </w:pPr>
  </w:style>
  <w:style w:type="paragraph" w:styleId="896">
    <w:name w:val="toc 9"/>
    <w:basedOn w:val="900"/>
    <w:next w:val="900"/>
    <w:uiPriority w:val="39"/>
    <w:unhideWhenUsed/>
    <w:pPr>
      <w:pBdr/>
      <w:spacing w:after="100"/>
      <w:ind w:left="1760"/>
    </w:pPr>
  </w:style>
  <w:style w:type="paragraph" w:styleId="897">
    <w:name w:val="TOC Heading"/>
    <w:uiPriority w:val="39"/>
    <w:unhideWhenUsed/>
    <w:pPr>
      <w:pBdr/>
      <w:spacing/>
      <w:ind/>
    </w:pPr>
  </w:style>
  <w:style w:type="paragraph" w:styleId="898">
    <w:name w:val="table of figures"/>
    <w:basedOn w:val="900"/>
    <w:next w:val="900"/>
    <w:uiPriority w:val="99"/>
    <w:unhideWhenUsed/>
    <w:pPr>
      <w:pBdr/>
      <w:spacing w:after="0" w:afterAutospacing="0"/>
      <w:ind/>
    </w:pPr>
  </w:style>
  <w:style w:type="table" w:styleId="899">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0" w:default="1">
    <w:name w:val="Normal"/>
    <w:pPr>
      <w:pBdr/>
      <w:spacing/>
      <w:ind/>
    </w:pPr>
  </w:style>
  <w:style w:type="paragraph" w:styleId="901">
    <w:name w:val="Heading 1"/>
    <w:basedOn w:val="900"/>
    <w:next w:val="900"/>
    <w:pPr>
      <w:keepNext w:val="true"/>
      <w:keepLines w:val="true"/>
      <w:pageBreakBefore w:val="false"/>
      <w:pBdr/>
      <w:spacing w:after="120" w:before="480"/>
      <w:ind/>
    </w:pPr>
    <w:rPr>
      <w:b/>
      <w:sz w:val="48"/>
      <w:szCs w:val="48"/>
    </w:rPr>
  </w:style>
  <w:style w:type="paragraph" w:styleId="902">
    <w:name w:val="Heading 2"/>
    <w:basedOn w:val="900"/>
    <w:next w:val="900"/>
    <w:pPr>
      <w:keepNext w:val="true"/>
      <w:keepLines w:val="true"/>
      <w:pageBreakBefore w:val="false"/>
      <w:pBdr/>
      <w:spacing w:after="80" w:before="360"/>
      <w:ind/>
    </w:pPr>
    <w:rPr>
      <w:b/>
      <w:sz w:val="36"/>
      <w:szCs w:val="36"/>
    </w:rPr>
  </w:style>
  <w:style w:type="paragraph" w:styleId="903">
    <w:name w:val="Heading 3"/>
    <w:basedOn w:val="900"/>
    <w:next w:val="900"/>
    <w:pPr>
      <w:keepNext w:val="true"/>
      <w:keepLines w:val="true"/>
      <w:pageBreakBefore w:val="false"/>
      <w:pBdr/>
      <w:spacing w:after="80" w:before="280"/>
      <w:ind/>
    </w:pPr>
    <w:rPr>
      <w:b/>
      <w:sz w:val="28"/>
      <w:szCs w:val="28"/>
    </w:rPr>
  </w:style>
  <w:style w:type="paragraph" w:styleId="904">
    <w:name w:val="Heading 4"/>
    <w:basedOn w:val="900"/>
    <w:next w:val="900"/>
    <w:pPr>
      <w:keepNext w:val="true"/>
      <w:keepLines w:val="true"/>
      <w:pageBreakBefore w:val="false"/>
      <w:pBdr/>
      <w:spacing w:after="40" w:before="240"/>
      <w:ind/>
    </w:pPr>
    <w:rPr>
      <w:b/>
      <w:sz w:val="24"/>
      <w:szCs w:val="24"/>
    </w:rPr>
  </w:style>
  <w:style w:type="paragraph" w:styleId="905">
    <w:name w:val="Heading 5"/>
    <w:basedOn w:val="900"/>
    <w:next w:val="900"/>
    <w:pPr>
      <w:keepNext w:val="true"/>
      <w:keepLines w:val="true"/>
      <w:pageBreakBefore w:val="false"/>
      <w:pBdr/>
      <w:spacing w:after="40" w:before="220"/>
      <w:ind/>
    </w:pPr>
    <w:rPr>
      <w:b/>
      <w:sz w:val="22"/>
      <w:szCs w:val="22"/>
    </w:rPr>
  </w:style>
  <w:style w:type="paragraph" w:styleId="906">
    <w:name w:val="Heading 6"/>
    <w:basedOn w:val="900"/>
    <w:next w:val="900"/>
    <w:pPr>
      <w:keepNext w:val="true"/>
      <w:keepLines w:val="true"/>
      <w:pageBreakBefore w:val="false"/>
      <w:pBdr/>
      <w:spacing w:after="40" w:before="200"/>
      <w:ind/>
    </w:pPr>
    <w:rPr>
      <w:b/>
      <w:sz w:val="20"/>
      <w:szCs w:val="20"/>
    </w:rPr>
  </w:style>
  <w:style w:type="paragraph" w:styleId="907">
    <w:name w:val="Title"/>
    <w:basedOn w:val="900"/>
    <w:next w:val="900"/>
    <w:pPr>
      <w:keepNext w:val="true"/>
      <w:keepLines w:val="true"/>
      <w:pageBreakBefore w:val="false"/>
      <w:pBdr/>
      <w:spacing w:after="120" w:before="480"/>
      <w:ind/>
    </w:pPr>
    <w:rPr>
      <w:b/>
      <w:sz w:val="72"/>
      <w:szCs w:val="72"/>
    </w:rPr>
  </w:style>
  <w:style w:type="paragraph" w:styleId="908">
    <w:name w:val="Subtitle"/>
    <w:basedOn w:val="900"/>
    <w:next w:val="900"/>
    <w:pPr>
      <w:keepNext w:val="true"/>
      <w:keepLines w:val="true"/>
      <w:pageBreakBefore w:val="false"/>
      <w:pBdr/>
      <w:spacing w:after="80" w:before="360"/>
      <w:ind/>
    </w:pPr>
    <w:rPr>
      <w:rFonts w:ascii="Georgia" w:hAnsi="Georgia" w:eastAsia="Georgia" w:cs="Georgia"/>
      <w:i/>
      <w:color w:val="666666"/>
      <w:sz w:val="48"/>
      <w:szCs w:val="48"/>
    </w:rPr>
  </w:style>
  <w:style w:type="table" w:styleId="909">
    <w:name w:val="StGen0"/>
    <w:basedOn w:val="899"/>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image" Target="media/image2.jpg"/><Relationship Id="rId11" Type="http://schemas.openxmlformats.org/officeDocument/2006/relationships/hyperlink" Target="https://www.banquedesterritoires.fr/accessibilite-numerique-96-des-sites-communaux-sont-non-conformes?pk_campaign=newsletter_hebdo&amp;pk_kwd=2025-07-11&amp;pk_source=Actualit%C3%A9s_Localtis&amp;pk_medium=newsletter_hebdo" TargetMode="External"/><Relationship Id="rId12" Type="http://schemas.openxmlformats.org/officeDocument/2006/relationships/hyperlink" Target="https://umap.openstreetmap.fr/fr/map/mesure-de-laccessibilite-des-sites-web-des-commune_1189554#10/43.4260/6.2842" TargetMode="External"/><Relationship Id="rId13" Type="http://schemas.openxmlformats.org/officeDocument/2006/relationships/hyperlink" Target="https://asqatasun.org/" TargetMode="External"/><Relationship Id="rId14" Type="http://schemas.openxmlformats.org/officeDocument/2006/relationships/hyperlink" Target="https://resana.numerique.gouv.fr/public/information/consulterAccessUrl?cle_url=162423341B2tTNQEJUjlRbVJiBGgEIFU5BDZWd1JrA2xRNFA4DzcEMVNiBGQDNlc0XjteaA==" TargetMode="External"/><Relationship Id="rId15" Type="http://schemas.openxmlformats.org/officeDocument/2006/relationships/hyperlink" Target="https://www.banquedesterritoires.fr/accessibilite-une-boite-outils-pour-faciliter-les-demarches-des-elus-locaux?pk_campaign=newsletter_hebdo&amp;pk_kwd=2025-09-05&amp;pk_source=Actualit%C3%A9s_Localtis&amp;pk_medium=newsletter_hebdo" TargetMode="External"/><Relationship Id="rId16" Type="http://schemas.openxmlformats.org/officeDocument/2006/relationships/hyperlink" Target="https://www.info.gouv.fr/accessibilite/ameliorer-l-accessibilite-en-tant-qu-elu-local" TargetMode="External"/><Relationship Id="rId17" Type="http://schemas.openxmlformats.org/officeDocument/2006/relationships/hyperlink" Target="https://design.numerique.gouv.fr/outils/" TargetMode="External"/><Relationship Id="rId18" Type="http://schemas.openxmlformats.org/officeDocument/2006/relationships/hyperlink" Target="https://design.numerique.gouv.fr/outils/diagnostic-flash/" TargetMode="External"/><Relationship Id="rId19" Type="http://schemas.openxmlformats.org/officeDocument/2006/relationships/hyperlink" Target="https://design.numerique.gouv.fr/accessibilite-numerique/prestations-accessibilite-numerique/" TargetMode="External"/><Relationship Id="rId20" Type="http://schemas.openxmlformats.org/officeDocument/2006/relationships/hyperlink" Target="https://www.ecologie.gouv.fr/politiques-publiques/leurope-laccessibilite" TargetMode="External"/><Relationship Id="rId21" Type="http://schemas.openxmlformats.org/officeDocument/2006/relationships/comments" Target="comments.xml" /><Relationship Id="rId22" Type="http://schemas.microsoft.com/office/2011/relationships/commentsExtended" Target="commentsExtended.xml" /><Relationship Id="rId23" Type="http://schemas.microsoft.com/office/2016/09/relationships/commentsIds" Target="commentsIds.xml" /><Relationship Id="rId24" Type="http://schemas.onlyoffice.com/commentsDocument" Target="commentsDocument.xml" /><Relationship Id="rId25" Type="http://schemas.onlyoffice.com/commentsExtendedDocument" Target="commentsExtendedDocument.xml" /><Relationship Id="rId26" Type="http://schemas.onlyoffice.com/commentsIdsDocument" Target="commentsIdsDocument.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2</cp:revision>
  <dcterms:modified xsi:type="dcterms:W3CDTF">2025-10-10T10:23:49Z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